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C5" w:rsidRPr="002670C5" w:rsidRDefault="002670C5" w:rsidP="002670C5">
      <w:pPr>
        <w:widowControl/>
        <w:spacing w:before="150" w:after="100" w:afterAutospacing="1"/>
        <w:jc w:val="center"/>
        <w:outlineLvl w:val="2"/>
        <w:rPr>
          <w:rFonts w:ascii="宋体" w:eastAsia="宋体" w:hAnsi="宋体" w:cs="宋体"/>
          <w:b/>
          <w:bCs/>
          <w:kern w:val="0"/>
          <w:sz w:val="32"/>
          <w:szCs w:val="32"/>
          <w:lang w:val="en"/>
        </w:rPr>
      </w:pPr>
      <w:r w:rsidRPr="002670C5">
        <w:rPr>
          <w:rFonts w:ascii="宋体" w:eastAsia="宋体" w:hAnsi="宋体" w:cs="宋体"/>
          <w:b/>
          <w:bCs/>
          <w:kern w:val="0"/>
          <w:sz w:val="32"/>
          <w:szCs w:val="32"/>
          <w:lang w:val="en"/>
        </w:rPr>
        <w:t>国家以工代赈管理办法</w:t>
      </w:r>
    </w:p>
    <w:p w:rsidR="002670C5" w:rsidRPr="002670C5" w:rsidRDefault="002670C5" w:rsidP="002670C5">
      <w:pPr>
        <w:widowControl/>
        <w:spacing w:line="525" w:lineRule="atLeast"/>
        <w:jc w:val="center"/>
        <w:rPr>
          <w:rFonts w:ascii="宋体" w:eastAsia="宋体" w:hAnsi="宋体" w:cs="宋体"/>
          <w:vanish/>
          <w:kern w:val="0"/>
          <w:sz w:val="24"/>
          <w:szCs w:val="24"/>
          <w:lang w:val="en"/>
        </w:rPr>
      </w:pPr>
      <w:r>
        <w:rPr>
          <w:rFonts w:ascii="宋体" w:eastAsia="宋体" w:hAnsi="宋体" w:cs="宋体"/>
          <w:noProof/>
          <w:vanish/>
          <w:kern w:val="0"/>
          <w:sz w:val="24"/>
          <w:szCs w:val="24"/>
        </w:rPr>
        <w:drawing>
          <wp:inline distT="0" distB="0" distL="0" distR="0">
            <wp:extent cx="228600" cy="228600"/>
            <wp:effectExtent l="0" t="0" r="0" b="0"/>
            <wp:docPr id="1" name="图片 1" descr="http://www.cebpubservice.com/ctpsp_policylaw/3rd/skin/default/images/small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bpubservice.com/ctpsp_policylaw/3rd/skin/default/images/smallHa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670C5">
        <w:rPr>
          <w:rFonts w:ascii="宋体" w:eastAsia="宋体" w:hAnsi="宋体" w:cs="宋体"/>
          <w:vanish/>
          <w:color w:val="045189"/>
          <w:kern w:val="0"/>
          <w:sz w:val="24"/>
          <w:szCs w:val="24"/>
          <w:u w:val="single"/>
          <w:lang w:val="en"/>
        </w:rPr>
        <w:t>查看解读</w:t>
      </w:r>
      <w:r w:rsidRPr="002670C5">
        <w:rPr>
          <w:rFonts w:ascii="宋体" w:eastAsia="宋体" w:hAnsi="宋体" w:cs="宋体"/>
          <w:vanish/>
          <w:kern w:val="0"/>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4"/>
        <w:gridCol w:w="3780"/>
        <w:gridCol w:w="1020"/>
        <w:gridCol w:w="2562"/>
      </w:tblGrid>
      <w:tr w:rsidR="002670C5" w:rsidRPr="002670C5" w:rsidTr="002670C5">
        <w:trPr>
          <w:tblCellSpacing w:w="15" w:type="dxa"/>
        </w:trPr>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bookmarkStart w:id="0" w:name="OLE_LINK1"/>
            <w:bookmarkStart w:id="1" w:name="_GoBack"/>
            <w:r w:rsidRPr="002670C5">
              <w:rPr>
                <w:rFonts w:ascii="宋体" w:eastAsia="宋体" w:hAnsi="宋体" w:cs="宋体"/>
                <w:kern w:val="0"/>
                <w:sz w:val="24"/>
                <w:szCs w:val="24"/>
              </w:rPr>
              <w:t>发布机关：</w:t>
            </w:r>
          </w:p>
        </w:tc>
        <w:tc>
          <w:tcPr>
            <w:tcW w:w="0" w:type="auto"/>
            <w:gridSpan w:val="3"/>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国家发展和改革委员会</w:t>
            </w:r>
          </w:p>
        </w:tc>
      </w:tr>
      <w:tr w:rsidR="002670C5" w:rsidRPr="002670C5" w:rsidTr="002670C5">
        <w:trPr>
          <w:tblCellSpacing w:w="15" w:type="dxa"/>
        </w:trPr>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发布文号：</w:t>
            </w:r>
          </w:p>
        </w:tc>
        <w:tc>
          <w:tcPr>
            <w:tcW w:w="3750" w:type="dxa"/>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中华人民共和国国家发展和改革委员会第57号令</w:t>
            </w:r>
          </w:p>
        </w:tc>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行政区域：</w:t>
            </w:r>
          </w:p>
        </w:tc>
        <w:tc>
          <w:tcPr>
            <w:tcW w:w="0" w:type="auto"/>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全国</w:t>
            </w:r>
          </w:p>
        </w:tc>
      </w:tr>
      <w:tr w:rsidR="002670C5" w:rsidRPr="002670C5" w:rsidTr="002670C5">
        <w:trPr>
          <w:tblCellSpacing w:w="15" w:type="dxa"/>
        </w:trPr>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文件类型：</w:t>
            </w:r>
          </w:p>
        </w:tc>
        <w:tc>
          <w:tcPr>
            <w:tcW w:w="0" w:type="auto"/>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部门规章</w:t>
            </w:r>
          </w:p>
        </w:tc>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文件状态：</w:t>
            </w:r>
          </w:p>
        </w:tc>
        <w:tc>
          <w:tcPr>
            <w:tcW w:w="0" w:type="auto"/>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尚未生效</w:t>
            </w:r>
          </w:p>
        </w:tc>
      </w:tr>
      <w:tr w:rsidR="002670C5" w:rsidRPr="002670C5" w:rsidTr="002670C5">
        <w:trPr>
          <w:tblCellSpacing w:w="15" w:type="dxa"/>
        </w:trPr>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发布日期：</w:t>
            </w:r>
          </w:p>
        </w:tc>
        <w:tc>
          <w:tcPr>
            <w:tcW w:w="0" w:type="auto"/>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2023-01-10</w:t>
            </w:r>
          </w:p>
        </w:tc>
        <w:tc>
          <w:tcPr>
            <w:tcW w:w="600" w:type="pct"/>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实施日期：</w:t>
            </w:r>
          </w:p>
        </w:tc>
        <w:tc>
          <w:tcPr>
            <w:tcW w:w="0" w:type="auto"/>
            <w:vAlign w:val="center"/>
            <w:hideMark/>
          </w:tcPr>
          <w:p w:rsidR="002670C5" w:rsidRPr="002670C5" w:rsidRDefault="002670C5" w:rsidP="002670C5">
            <w:pPr>
              <w:widowControl/>
              <w:jc w:val="left"/>
              <w:rPr>
                <w:rFonts w:ascii="宋体" w:eastAsia="宋体" w:hAnsi="宋体" w:cs="宋体"/>
                <w:kern w:val="0"/>
                <w:sz w:val="24"/>
                <w:szCs w:val="24"/>
              </w:rPr>
            </w:pPr>
            <w:r w:rsidRPr="002670C5">
              <w:rPr>
                <w:rFonts w:ascii="宋体" w:eastAsia="宋体" w:hAnsi="宋体" w:cs="宋体"/>
                <w:kern w:val="0"/>
                <w:sz w:val="24"/>
                <w:szCs w:val="24"/>
              </w:rPr>
              <w:t>2023-03-01</w:t>
            </w:r>
          </w:p>
        </w:tc>
      </w:tr>
    </w:tbl>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9"/>
          <w:szCs w:val="29"/>
          <w:lang w:val="en"/>
        </w:rPr>
        <w:t>中华人民共和国国家发展和改革委员会</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9"/>
          <w:szCs w:val="29"/>
          <w:lang w:val="en"/>
        </w:rPr>
        <w:t>第57号</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《国家以工代赈管理办法》已经2022年12月29日第25次委</w:t>
      </w:r>
      <w:proofErr w:type="gramStart"/>
      <w:r w:rsidRPr="002670C5">
        <w:rPr>
          <w:rFonts w:ascii="微软雅黑" w:eastAsia="微软雅黑" w:hAnsi="微软雅黑" w:cs="宋体" w:hint="eastAsia"/>
          <w:kern w:val="0"/>
          <w:sz w:val="24"/>
          <w:szCs w:val="24"/>
          <w:lang w:val="en"/>
        </w:rPr>
        <w:t>务</w:t>
      </w:r>
      <w:proofErr w:type="gramEnd"/>
      <w:r w:rsidRPr="002670C5">
        <w:rPr>
          <w:rFonts w:ascii="微软雅黑" w:eastAsia="微软雅黑" w:hAnsi="微软雅黑" w:cs="宋体" w:hint="eastAsia"/>
          <w:kern w:val="0"/>
          <w:sz w:val="24"/>
          <w:szCs w:val="24"/>
          <w:lang w:val="en"/>
        </w:rPr>
        <w:t>会议审议通过，现予公布，自2023年3月1日起施行。</w:t>
      </w:r>
    </w:p>
    <w:p w:rsidR="002670C5" w:rsidRPr="002670C5" w:rsidRDefault="002670C5" w:rsidP="002670C5">
      <w:pPr>
        <w:widowControl/>
        <w:spacing w:before="100" w:beforeAutospacing="1" w:after="100" w:afterAutospacing="1" w:line="480" w:lineRule="atLeast"/>
        <w:ind w:firstLine="480"/>
        <w:jc w:val="right"/>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主任：何立峰</w:t>
      </w:r>
    </w:p>
    <w:p w:rsidR="002670C5" w:rsidRPr="002670C5" w:rsidRDefault="002670C5" w:rsidP="002670C5">
      <w:pPr>
        <w:widowControl/>
        <w:spacing w:before="100" w:beforeAutospacing="1" w:after="100" w:afterAutospacing="1" w:line="480" w:lineRule="atLeast"/>
        <w:ind w:firstLine="480"/>
        <w:jc w:val="right"/>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2023年1月10日</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国家以工代赈管理办法</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第一章 总</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b/>
          <w:bCs/>
          <w:kern w:val="0"/>
          <w:sz w:val="24"/>
          <w:szCs w:val="24"/>
          <w:lang w:val="en"/>
        </w:rPr>
        <w:t>则</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lastRenderedPageBreak/>
        <w:t>第一条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为充分发挥以工代赈政策作用，进一步规范和加强新形势下以工代赈管理，确保“赈”出实效，根据《中共中央 国务院关于实现巩固拓展脱贫攻坚成果同乡村振兴有效衔接的意见》《国务院办公厅转发国家发展改革委关于在重点工程项目中大力实施以工代赈促进当地群众就业增收工作方案的通知》《关于在农业农村基础设施建设领域积极推广以工代赈方式的意见》等文件精神和《政府投资条例》等有关规定，制定本办法。</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本办法所称以工代赈是指政府投资建设基础设施工程，受赈济者参加工程建设获得劳务报酬，以此取代直接赈济的一项扶持政策。现阶段，以工代赈主要包括使用以工代赈专项资金实施以工代赈项目、在农业农村基础设施建设领域中推广以工代赈方式、在政府投资的重点工程项目中实施以工代赈等，主要目的是向参与工程建设的群众发放劳务报酬、开展技能培训，促进其就地就近就业增收。</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实施以工代赈应坚守“赈”的初心，坚持扶志扶智、多劳多得、勤劳致富，鼓励引导群众通过诚实劳动实现增收致富、提高素质技能，加强困难群体就业兜底帮扶，努力增加低收入者收入，促进共同富裕，坚决防止出现“重建设、轻赈济”现象，严禁滥用以工代赈政策侵犯劳动者合法权益。</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各级发展改革（以工代赈，下同）部门是以工代赈的行政主管部门，承担以工代赈工作的综合协调和具体管理职责，会同相关部门在农业农村基础设施建设和政府投资的重点工程项目中组织实施以工代赈。</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以工代赈工作纳入国家和地方国民经济社会发展年度计划，按照“中央统筹、省负总责、市县乡抓落实”的管理体制，层层压实工作责任。</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第五条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各级发展改革部门应加强对以工代赈工作的组织领导，强化以工代赈工作人员队伍建设，会同相关部门建立沟通协调机制，加强部门协同配合。</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第六条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各级发展改革部门应会同相关部门建立健全以工代赈激励机制，加强典型宣传推介。对以工代赈工作积极主动、成效明显的地方和单位给予激励表扬，并在以工代赈专项投资安排中予以倾斜支持。</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第七条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地方发展改革部门应根据国家及地方国民经济和社会发展五年规划，结合本地实际，同步编制实施以工代赈领域五年规划或相关工作方案。</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第二章 以工代赈计划管理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第八条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以工代赈计划是指使用国家以工代赈专项资金组织实施的专门计划，包括以工代赈中央预算内投资计划、中央财政衔接推进乡村振兴补助资金以工代赈任务计划，可分年度或分专项安排。</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以工代赈计划的基本内容包括投资规模及构成、建设内容、工作任务和政策要求等。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第九条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国家发展改革委负责研究提出以工代赈计划工作总体要求，组织有关省级发展改革部门编制建议计划草案。</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省级发展改革部门负责审核下级发展改革部门编报的年度以工代赈建议计划，汇总编制本省年度以工代赈建议计划草案，及时报送国家发展改革委汇总。</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建议计划草案应明确项目类别、项目名称、建设内容及规模、建设工期、项目总投资及资金来源、绩效目标等。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国家发展改革委按照党中央、国务院部署要求，根据地方经济社会发展、自然条件和受灾、相关人口规模和收入、计划安排和执行、劳务报酬发放等情况和工作成效评价及其他政策因素等，结合年度工作重点和地方建议计划草案，编制下达国家以工代赈计划，以切块或打捆方式下达分省规模。</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第十一条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省级发展改革部门应自收到国家年度以工代赈计划之日起20个工作日内，将本省年度以工代赈计划分解下达到项目。</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分解下达以工代赈计划应按项目明确资金安排方式。政府投资资金安排的非经营性项目，应采取直接投资方式。</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以工代赈计划下达后，严禁未经批准擅自变更建设内容和建设规模。确需调整的，应由项目审批部门按程序审批，并按规定履行备案程序。</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第十二条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地方各级发展改革部门应建立健全以工代赈计划执行监测机制，实行定期调度、动态监测。省级发展改革部门应跟踪掌握本省以工代赈计划执行情况，及时上报国家发展改革委。</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lastRenderedPageBreak/>
        <w:t>第三章 以工代赈专项资金管理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第十三条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国家以工代赈专项资金包括以工代赈中央预算内投资、中央财政衔接推进乡村振兴补助资金以工代赈任务方向（以下简称“中央财政以工代赈任务资金”）。</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各地结合当地实际，积极将以工代赈投入纳入本级财政预算，安排本级以工代赈专项资金。</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第十四条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以工代赈中央预算内投资按照《中央预算内直接投资项目管理办法》（国家发展改革委2014年第7号令）、《中央预算内投资补助和贴息项目管理办法》（国家发展改革委2016年第45号令）等有关规定管理。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中央财政以工代赈任务资金按照《中央财政衔接推进乡村振兴补助资金管理办法》（</w:t>
      </w:r>
      <w:proofErr w:type="gramStart"/>
      <w:r w:rsidRPr="002670C5">
        <w:rPr>
          <w:rFonts w:ascii="微软雅黑" w:eastAsia="微软雅黑" w:hAnsi="微软雅黑" w:cs="宋体" w:hint="eastAsia"/>
          <w:kern w:val="0"/>
          <w:sz w:val="24"/>
          <w:szCs w:val="24"/>
          <w:lang w:val="en"/>
        </w:rPr>
        <w:t>财农〔2021〕</w:t>
      </w:r>
      <w:proofErr w:type="gramEnd"/>
      <w:r w:rsidRPr="002670C5">
        <w:rPr>
          <w:rFonts w:ascii="微软雅黑" w:eastAsia="微软雅黑" w:hAnsi="微软雅黑" w:cs="宋体" w:hint="eastAsia"/>
          <w:kern w:val="0"/>
          <w:sz w:val="24"/>
          <w:szCs w:val="24"/>
          <w:lang w:val="en"/>
        </w:rPr>
        <w:t>19号）等有关规定管理。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地方各级发展改革部门应会同财政、乡村振兴等部门和单位，结合本地实际建立健全专项资金管理制度。</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第十五条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专项资金主要投向欠发达地区，并向原深度贫困地区、国家乡村振兴重点帮扶县、革命老区、易地扶贫搬迁后续扶持任务较重地区以及受自然灾害影响较大地区倾斜。对其他有关地区的以工代赈专项资金投入，按照国家有关政策要求安排。</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第十六条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以工代赈专项资金重点支持公益性基础设施和产业发展配套基础设施建设，以及根据国家要求安排的其他工程建设。</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公益性基础设施主要包括农村生活、交通、水利等基础设施、林业草原和城乡易地扶贫搬迁安置点配套公益性基础设施等。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产业发展配套基础设施主要包括农牧产业、乡村文化旅游产业、林业草原产业等基础设施和城乡易地扶贫搬迁安置点后续产业基础设施等。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第十七条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中央预算内投资主要用于实施一批中小型基础设施建设项目，推广“公益性基础设施建设+劳务报酬发放+就业技能培训+公益性管护岗位开发”和“产业发展配套基础设施建设+劳务报酬发放+就业技能培训+资产折股量化分红”等综合赈济模式，进一步提高劳务报酬发放比例，形成示范带动效应。</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中央财政以工代赈任务资金主要用于统筹支持巩固拓展脱贫攻坚成果、全面推进乡村振兴，实施一批小型基础设施建设项目并发放劳务报酬，与财政衔接推进乡村振兴补助资金其他任务形成合力。</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第十八条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国家以工代赈专项资金应当用于新开工或续建项目，不得用于已完工项目。下达以工代赈专项资金时应与其他有关专项资金做好衔接，严禁重复安排。</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以工代赈项目的具体补助标准可参照国家相关支持标准，由各省根据不同类型项目自行确定。</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第十九条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国家以工代赈专项资金在满足项目建设需求的过程中，应重点用于发放参与项目建设劳动者的劳务报酬。不得用于下列支出：</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（一）单位基本支出；</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（二）交通工具及通讯设备；</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（三）发放奖金津贴和福利补助；</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（四）偿还债务和垫资；</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（五）购买大中型机械设备等资产；</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（六）购买花草树木、种苗仔畜、饲料、化肥等生产性物资；</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（七）其他与以工代赈项目无关的支出事项。</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以工代赈项目实施中的就业技能培训、公益性管护岗位开发等工作任务，由地方政府统筹相关财政资金及社会帮扶资金、企业投资等予以支持。</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县级发展改革部门应指导项目业主单位，充分评估论证财政承受能力和资金筹措方案，防范地方政府债务风险。各地可统筹符合规定的其它渠道资金、引导社会资金用于以工代赈项目建设，对于带动其他渠道资金较多的以工代赈项目予以优先支持。</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第二十一条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各级发展改革部门应协调和配合相关专项资金管理部门按照以工代赈计划拨付资金，加强全过程绩效管理，严格资金拨付程序，确保资金安全、及时、准确、规范使用。</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lastRenderedPageBreak/>
        <w:t>第四章 以工代赈项目管理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第二十二条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项目是指使用以工代赈专项资金实施的基础设施建设工程。地方发展改革部门应深刻把握“项目建设是平台载体、就业增收是根本目标”的政策内涵，始终把解决群众就业增收问题作为以工代赈工作的出发点和落脚点，依据以工代赈规划计划建立项目库，将能够充分发挥“赈”的作用的建设工程纳入项目库，加强项目滚动储备和前期工作审查。</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第二十三条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项目按照基本建设程序管理。国家有特殊要求的项目由省级发展改革部门报国家发展改革委审批，其他项目由地方各级审批部门依据审批权限履行项目审批手续。各级审批部门按照“谁审批、谁负责”原则，对项目的审批管理和合</w:t>
      </w:r>
      <w:proofErr w:type="gramStart"/>
      <w:r w:rsidRPr="002670C5">
        <w:rPr>
          <w:rFonts w:ascii="微软雅黑" w:eastAsia="微软雅黑" w:hAnsi="微软雅黑" w:cs="宋体" w:hint="eastAsia"/>
          <w:kern w:val="0"/>
          <w:sz w:val="24"/>
          <w:szCs w:val="24"/>
          <w:lang w:val="en"/>
        </w:rPr>
        <w:t>规</w:t>
      </w:r>
      <w:proofErr w:type="gramEnd"/>
      <w:r w:rsidRPr="002670C5">
        <w:rPr>
          <w:rFonts w:ascii="微软雅黑" w:eastAsia="微软雅黑" w:hAnsi="微软雅黑" w:cs="宋体" w:hint="eastAsia"/>
          <w:kern w:val="0"/>
          <w:sz w:val="24"/>
          <w:szCs w:val="24"/>
          <w:lang w:val="en"/>
        </w:rPr>
        <w:t>性负责。</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第二十四条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地方各级发展改革部门应会同有关部门建立以工代赈储备项目的前期工作审查机制，按照“省负总责，省、市、县分级把关”的原则，可选择集中审查、委托第三方评估等方式，严格审查储备申报项目的前期要件和项目用工需求、劳务报酬发放可行性、资金投向合</w:t>
      </w:r>
      <w:proofErr w:type="gramStart"/>
      <w:r w:rsidRPr="002670C5">
        <w:rPr>
          <w:rFonts w:ascii="微软雅黑" w:eastAsia="微软雅黑" w:hAnsi="微软雅黑" w:cs="宋体" w:hint="eastAsia"/>
          <w:kern w:val="0"/>
          <w:sz w:val="24"/>
          <w:szCs w:val="24"/>
          <w:lang w:val="en"/>
        </w:rPr>
        <w:t>规</w:t>
      </w:r>
      <w:proofErr w:type="gramEnd"/>
      <w:r w:rsidRPr="002670C5">
        <w:rPr>
          <w:rFonts w:ascii="微软雅黑" w:eastAsia="微软雅黑" w:hAnsi="微软雅黑" w:cs="宋体" w:hint="eastAsia"/>
          <w:kern w:val="0"/>
          <w:sz w:val="24"/>
          <w:szCs w:val="24"/>
          <w:lang w:val="en"/>
        </w:rPr>
        <w:t>情况等。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列入以工代赈建议计划的项目，原则上应在以工代赈项目库中选择，并优先支持发放劳务报酬比例高、带动当地群众特别是脱贫群众务工人数多、当地政府组织群众务工能力强、综合赈济效果好的项目。</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第二十五条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以工代赈项目业主单位一般为乡镇人民政府和村民委员会、农村集体经济组织等。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村民委员会、农村集体经济组织作为项目业主单位的，应尽可能采取村民自</w:t>
      </w:r>
      <w:proofErr w:type="gramStart"/>
      <w:r w:rsidRPr="002670C5">
        <w:rPr>
          <w:rFonts w:ascii="微软雅黑" w:eastAsia="微软雅黑" w:hAnsi="微软雅黑" w:cs="宋体" w:hint="eastAsia"/>
          <w:kern w:val="0"/>
          <w:sz w:val="24"/>
          <w:szCs w:val="24"/>
          <w:lang w:val="en"/>
        </w:rPr>
        <w:t>建方式</w:t>
      </w:r>
      <w:proofErr w:type="gramEnd"/>
      <w:r w:rsidRPr="002670C5">
        <w:rPr>
          <w:rFonts w:ascii="微软雅黑" w:eastAsia="微软雅黑" w:hAnsi="微软雅黑" w:cs="宋体" w:hint="eastAsia"/>
          <w:kern w:val="0"/>
          <w:sz w:val="24"/>
          <w:szCs w:val="24"/>
          <w:lang w:val="en"/>
        </w:rPr>
        <w:t>实施，切实保障村民知情权、参与权、监督权。鼓励和支持村集体经济组织通过组建村民理事会、劳务合作社、施工队等方式，自主开展以工代赈项目建设和管理。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第二十六条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按照招标投标法和村庄建设项目施行简易审批的有关规定要求，以工代赈项目可以不进行招标，任何单位和个人不得强制要求招标，不得另行制定必须招标的范围和规模标准。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符合村庄建设项目施行简易审批相关要求的，各地应优化可行性研究报告等审批，简化用地、环评、乡村规划许可、施工许可等审批手续。</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第二十七条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以工代赈项目应按照相关工程标准进行设计、施工，明确工程责任单位和责任人，确保施工安全和工程质量符合相关要求。</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第二十八条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县级发展改革部门应指导以工代赈项目业主单位、施工单位，按照“能用人工尽量不用机械，能组织当地群众务工尽量不用专业施工队伍”的要求，组织项目所在县域内农村劳动力、城镇低收入人口和就业困难群体等参加工程建设，并优先吸纳脱贫人口、防止返贫监测对象、</w:t>
      </w:r>
      <w:proofErr w:type="gramStart"/>
      <w:r w:rsidRPr="002670C5">
        <w:rPr>
          <w:rFonts w:ascii="微软雅黑" w:eastAsia="微软雅黑" w:hAnsi="微软雅黑" w:cs="宋体" w:hint="eastAsia"/>
          <w:kern w:val="0"/>
          <w:sz w:val="24"/>
          <w:szCs w:val="24"/>
          <w:lang w:val="en"/>
        </w:rPr>
        <w:t>因灾需救助</w:t>
      </w:r>
      <w:proofErr w:type="gramEnd"/>
      <w:r w:rsidRPr="002670C5">
        <w:rPr>
          <w:rFonts w:ascii="微软雅黑" w:eastAsia="微软雅黑" w:hAnsi="微软雅黑" w:cs="宋体" w:hint="eastAsia"/>
          <w:kern w:val="0"/>
          <w:sz w:val="24"/>
          <w:szCs w:val="24"/>
          <w:lang w:val="en"/>
        </w:rPr>
        <w:t>人口、易地扶贫搬迁群众和受自然灾害等不可抗力影响无法外出务工劳动力等群体。</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第二十九条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县级发展改革部门应督促指导项目业主单位，结合编制项目可行性研究报告或实施方案，明确务工组织领导、管理、监督等工作任务，细化实化以工代赈务工岗位、数量及务工时间、劳务报酬、岗前技能培训等内容。</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业主单位应与项目所在乡镇人民政府、村民委员会和施工单位建立劳务沟通协调机制，督促施工单位与务工群众签订劳务合同（协议）。</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县级发展改革部门应指导以工代赈项目业主单位、施工单位，严格按照专项计划文件明确的劳务报酬占中央资金比例要求，结合当地群众务工收入水平确定劳务报酬发放标准和规模，做好劳务报酬发放工作，尽最大可能提高以工代赈项目劳务报酬占财政资金的比例。劳务报酬一般通过银行卡发放。</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项目业主单位应公开、足额、及时发放劳务报酬，严禁拖欠、克扣，不得将租赁当地群众机械设备等费用计入劳务报酬。</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县级发展改革部门在项目前期工作环节应指导以工代赈项目业主单位、施工单位，对能否足额发放劳务报酬进行论证，明确劳务报酬发放金额和标准。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第三十一条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以工代赈项目推行信息公示公告制度，主动接受社会监督。项目开工前，业主单位应对项目名称、资金来源及金额、建设地点、建设内容及规模、建设周期等信息予以公示。项目施工期间，业主单位应在施工现场对群众务工信息、劳务报酬发放标准、监督举报电话等内容进行公示。项目建成后，业主单位应在项目点设置永久性公示牌，公示项目建设相关信息和当地群众参与务工、获取劳务报酬等受益情况。</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第三十二条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以工代赈项目建成后，县级发展改革部门应会同有关部门组成验收工作组，重点对项目建设质量、群众务工组织、劳务报酬发放、就业技能培训等落实情况开展验收，并对项目发挥“赈”的作用效果进行评价。</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县级发展改革部门和相关乡镇人民政府应加强项目档案资料管理。省、市发展改革部门应对项目验收、档案资料管理情况进行抽查检查。</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第五章 农业农村基础设施建设领域推广以工代赈方式</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第三十三条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推广以工代赈方式的农业农村基础设施建设领域，主要包括投资规模较小、技术方案相对简单、用工技能要求不高的农村生产生活基础设施，农村小型交通、水利、文化旅游和林业草原等基础设施建设。</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第三十四条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适宜在农业农村基础设施建设领域推广以工代赈方式的省份，省级发展改革部门应会同相关部门建立健全省级推广以工代赈方式项目储备库（或清单，下同），按年度滚动管理。对于农业农村基础设施项目，在不影响项目建设进度和施工质量等前提下，应尽可能纳入项目储备库，采取以工代赈方式实施。</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第三十五条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县级发展改革部门应牵头统筹协调县域范围内农业农村基础设施建设领域推广以工代赈方式工作，结合实际制定工作流程、管理细则和考核办法，建立县级推广以工代赈方式项目储备库，规范项目组织实施和管理工作。</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第三十六条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县级发展改革部门会同相关部门负责农业农村基础设施建设领域推广以工代赈方式项目的认定工作，提请县级人民政府审定后，纳入县级推广以工代赈方式项目储备库管理，符合条件的项目可通过安排以工代赈专项资金予以支持。</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按照招标投标法和村庄建设项目施行简易审批的有关规定要求，农业农村基础设施建设领域推广以工代赈方式项目可以不进行招标。</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第三十七条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经认定为推广以工代赈方式的项目，应严格落实组织群众务工、开展就业技能培训等以工代赈政策要求，及时足额向当地农村群众发放劳务报酬，尽量提高项目资金中劳务报酬发放比例。</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第六章 重点工程项目实施以工代赈</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第三十八条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适用以工代赈的重点工程项目建设领域，包括政府投资的交通、水利、能源、农业农村、城镇建设、生态环境、灾后恢复重建等。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第三十九条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各地在谋划实施政府投资的重点工程项目时，应在确保工程质量安全和符合进度要求等前提下，按照“应用尽用、能用尽用”的原则，结合当地群众务工需求，挖掘主体工程建设及附属临建、工地服务保障、建后管护等方面用工潜力，尽可能通过实施以工代赈帮助当地群众就近务工实现就业增收。</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鼓励非政府投资的重点工程项目采取以工代赈方式扩大就业容量。引导民营企业、社会组织等各类社会力量采取以工代赈方式组织实施公益性帮扶项目。</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国家发展改革委会同相关部门，结合各相关领域重点工程项目中能够实施以工代赈的建设任务和用工环节指导目录，分年度明确国家层面适用以工代赈的重点工程项目清单。</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lastRenderedPageBreak/>
        <w:t>地方各级发展改革部门按照“分级负责、分领域推进”的原则，会同相关部门分年度明确本级适用以工代赈的重点工程项目清单。</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县级发展改革部门应牵头协调县域范围内重点工程项目实施以工代赈工作，规范以工代赈务工人员组织、劳动技能培训和安全生产培训、劳务报酬发放监管等具体工作管理。</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第四十一条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实施以工代赈的重点工程项目可行性研究报告或资金申请报告、初步设计报告或施工图设计文件、批复文件等，应明确适用以工代赈的建设内容和用工环节等政策要求。项目相关招标投标、签订劳务合同过程中应明确当地群众用工和劳务报酬发放要求等。</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第四十二条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实施以工代赈的重点工程项目所在地应建立劳务沟通协调机制，以县域为主组织动员当地农村劳动力、城镇低收入人口和就业困难群体等参与务工，抓好以工代赈务工人员组织、劳动技能和安全生产培训、劳务报酬发放监管等具体工作。</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第四十三条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实施以工代赈的重点工程项目所在地应统筹各类符合条件的培训资金和资源，充分利用项目施工场地、机械设备等，采取“培训+上岗”等方式，联合施工单位开展劳动技能培训和安全生产培训。</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第四十四条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鼓励实施以工代赈的重点工程项目业主单位、施工单位尽量扩充以工代赈就业岗位，及时向项目所在地县级人民政府相关部门告知用工需求和用工计划，合理确定以工代赈劳务报酬标准，尽可能增加劳务报酬规模，按程序及时足额发放到位。</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lastRenderedPageBreak/>
        <w:t>第四十五条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东部省份在广泛组织动员当地群众参与重点工程项目建设的同时，可结合本地区经济发展水平、当地群众务工需求等情况，大力吸纳中西部省份外出务工人员参与工程建设。</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第七章 监督检查与法律责任</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第四十六条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国家发展改革委会同相关部门建立健全以工代赈工作监督检查和成效综合评价机制，对以工代赈专项资金和项目管理、在农业农村基础设施建设领域推广以工代赈方式和重点工程项目中实施以工代赈工作情况开展监督检查和成效评价，及时发现并推动解决以工代赈政策执行中的问题和偏差。</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第四十七条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省级发展改革部门应对市县以工代赈工作开展常态化跟踪督促和年度成效综合评价，配合审计、财政等部门做好以工代赈专项资金和项目督促检查和审计工作。</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对发现问题突出或评价结果较差的市县，省级发展改革部门应及时予以通报或约谈，提出整改要求，酌情调减或暂停其以工代赈专项资金安排。</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第四十八条</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kern w:val="0"/>
          <w:sz w:val="24"/>
          <w:szCs w:val="24"/>
          <w:lang w:val="en"/>
        </w:rPr>
        <w:t>对由于各省在以工代赈项目资金申请前期审核不严而造成较大损失的，国家发展改革委可视情节在一定时期和范围内不再受理其报送的以工代赈计划草案。对地方擅自变更建设内容、建设规模的，劳务报酬弄虚作假，以及在投资计划执行和项目实施中出现重大问题的，国家发展</w:t>
      </w:r>
      <w:proofErr w:type="gramStart"/>
      <w:r w:rsidRPr="002670C5">
        <w:rPr>
          <w:rFonts w:ascii="微软雅黑" w:eastAsia="微软雅黑" w:hAnsi="微软雅黑" w:cs="宋体" w:hint="eastAsia"/>
          <w:kern w:val="0"/>
          <w:sz w:val="24"/>
          <w:szCs w:val="24"/>
          <w:lang w:val="en"/>
        </w:rPr>
        <w:t>改革委可酌情</w:t>
      </w:r>
      <w:proofErr w:type="gramEnd"/>
      <w:r w:rsidRPr="002670C5">
        <w:rPr>
          <w:rFonts w:ascii="微软雅黑" w:eastAsia="微软雅黑" w:hAnsi="微软雅黑" w:cs="宋体" w:hint="eastAsia"/>
          <w:kern w:val="0"/>
          <w:sz w:val="24"/>
          <w:szCs w:val="24"/>
          <w:lang w:val="en"/>
        </w:rPr>
        <w:t>减少或暂停其以工代赈专项资金安排。</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lastRenderedPageBreak/>
        <w:t>第四十九条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在编报下达以工代赈计划工作中，有滥用职权、玩忽职守、徇私舞弊、索贿受贿以及违反规定原则、程序下达投资计划或安排项目等行为的，责令限期改正，并视具体情况追究有关责任人的行政责任；构成犯罪的，由司法机关追究刑事责任。</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第五十条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在以工代赈专项资金和项目管理过程中，出现重大问题或达不到预期效益的，对相关责任部门予以通报批评，并酌情调减当地下一年度以工代赈投资规模。</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凡拖欠、截留、挪用、挤占、骗取、贪污以工代赈投入的，以及存在群众务工组织弄虚作假、劳务报酬虚报冒领等行为的，责令限期归还、如数追缴，并转请有关部门依法依规依纪从严处置；构成犯罪的，依法追究刑事责任。</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2670C5" w:rsidRPr="002670C5" w:rsidRDefault="002670C5" w:rsidP="002670C5">
      <w:pPr>
        <w:widowControl/>
        <w:spacing w:before="100" w:beforeAutospacing="1" w:after="100" w:afterAutospacing="1" w:line="480" w:lineRule="atLeast"/>
        <w:ind w:firstLine="480"/>
        <w:jc w:val="center"/>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第八章 附</w:t>
      </w:r>
      <w:r w:rsidRPr="002670C5">
        <w:rPr>
          <w:rFonts w:ascii="微软雅黑" w:eastAsia="微软雅黑" w:hAnsi="微软雅黑" w:cs="宋体" w:hint="eastAsia"/>
          <w:b/>
          <w:bCs/>
          <w:kern w:val="0"/>
          <w:sz w:val="24"/>
          <w:szCs w:val="24"/>
          <w:lang w:val="en"/>
        </w:rPr>
        <w:t> </w:t>
      </w:r>
      <w:r w:rsidRPr="002670C5">
        <w:rPr>
          <w:rFonts w:ascii="微软雅黑" w:eastAsia="微软雅黑" w:hAnsi="微软雅黑" w:cs="宋体" w:hint="eastAsia"/>
          <w:b/>
          <w:bCs/>
          <w:kern w:val="0"/>
          <w:sz w:val="24"/>
          <w:szCs w:val="24"/>
          <w:lang w:val="en"/>
        </w:rPr>
        <w:t>则</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第五十一条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本办法由国家发展改革委负责解释。省级发展改革部门可根据工作需要制定或修订本省以工代赈管理实施细则，并报国家发展改革委备案。</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b/>
          <w:bCs/>
          <w:kern w:val="0"/>
          <w:sz w:val="24"/>
          <w:szCs w:val="24"/>
          <w:lang w:val="en"/>
        </w:rPr>
        <w:t>第五十二条</w:t>
      </w:r>
      <w:r w:rsidRPr="002670C5">
        <w:rPr>
          <w:rFonts w:ascii="微软雅黑" w:eastAsia="微软雅黑" w:hAnsi="微软雅黑" w:cs="宋体" w:hint="eastAsia"/>
          <w:kern w:val="0"/>
          <w:sz w:val="24"/>
          <w:szCs w:val="24"/>
          <w:lang w:val="en"/>
        </w:rPr>
        <w:t> </w:t>
      </w:r>
      <w:r w:rsidRPr="002670C5">
        <w:rPr>
          <w:rFonts w:ascii="微软雅黑" w:eastAsia="微软雅黑" w:hAnsi="微软雅黑" w:cs="宋体" w:hint="eastAsia"/>
          <w:kern w:val="0"/>
          <w:sz w:val="24"/>
          <w:szCs w:val="24"/>
          <w:lang w:val="en"/>
        </w:rPr>
        <w:t>本办法自2023年3月1日起施行。国家发展改革委2014年12月29日印发的《国家以工代赈管理办法》同时废止。</w:t>
      </w:r>
    </w:p>
    <w:p w:rsidR="002670C5" w:rsidRPr="002670C5" w:rsidRDefault="002670C5" w:rsidP="002670C5">
      <w:pPr>
        <w:widowControl/>
        <w:spacing w:before="100" w:beforeAutospacing="1" w:after="100" w:afterAutospacing="1" w:line="480" w:lineRule="atLeast"/>
        <w:ind w:firstLine="480"/>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 </w:t>
      </w:r>
    </w:p>
    <w:p w:rsidR="00C024DC" w:rsidRPr="002670C5" w:rsidRDefault="002670C5" w:rsidP="002670C5">
      <w:pPr>
        <w:widowControl/>
        <w:spacing w:before="100" w:beforeAutospacing="1" w:after="100" w:afterAutospacing="1" w:line="480" w:lineRule="atLeast"/>
        <w:ind w:firstLine="480"/>
        <w:jc w:val="right"/>
        <w:rPr>
          <w:rFonts w:ascii="microsoft yahei" w:eastAsia="宋体" w:hAnsi="microsoft yahei" w:cs="宋体" w:hint="eastAsia"/>
          <w:kern w:val="0"/>
          <w:sz w:val="24"/>
          <w:szCs w:val="24"/>
          <w:lang w:val="en"/>
        </w:rPr>
      </w:pPr>
      <w:r w:rsidRPr="002670C5">
        <w:rPr>
          <w:rFonts w:ascii="微软雅黑" w:eastAsia="微软雅黑" w:hAnsi="微软雅黑" w:cs="宋体" w:hint="eastAsia"/>
          <w:kern w:val="0"/>
          <w:sz w:val="24"/>
          <w:szCs w:val="24"/>
          <w:lang w:val="en"/>
        </w:rPr>
        <w:t>国家发展和改革委员会发布</w:t>
      </w:r>
      <w:bookmarkEnd w:id="0"/>
      <w:bookmarkEnd w:id="1"/>
    </w:p>
    <w:sectPr w:rsidR="00C024DC" w:rsidRPr="00267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C5"/>
    <w:rsid w:val="002670C5"/>
    <w:rsid w:val="00644204"/>
    <w:rsid w:val="00C0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670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670C5"/>
    <w:rPr>
      <w:rFonts w:ascii="宋体" w:eastAsia="宋体" w:hAnsi="宋体" w:cs="宋体"/>
      <w:b/>
      <w:bCs/>
      <w:kern w:val="0"/>
      <w:sz w:val="27"/>
      <w:szCs w:val="27"/>
    </w:rPr>
  </w:style>
  <w:style w:type="paragraph" w:styleId="a3">
    <w:name w:val="Normal (Web)"/>
    <w:basedOn w:val="a"/>
    <w:uiPriority w:val="99"/>
    <w:semiHidden/>
    <w:unhideWhenUsed/>
    <w:rsid w:val="002670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70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670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670C5"/>
    <w:rPr>
      <w:rFonts w:ascii="宋体" w:eastAsia="宋体" w:hAnsi="宋体" w:cs="宋体"/>
      <w:b/>
      <w:bCs/>
      <w:kern w:val="0"/>
      <w:sz w:val="27"/>
      <w:szCs w:val="27"/>
    </w:rPr>
  </w:style>
  <w:style w:type="paragraph" w:styleId="a3">
    <w:name w:val="Normal (Web)"/>
    <w:basedOn w:val="a"/>
    <w:uiPriority w:val="99"/>
    <w:semiHidden/>
    <w:unhideWhenUsed/>
    <w:rsid w:val="002670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7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64364">
      <w:bodyDiv w:val="1"/>
      <w:marLeft w:val="0"/>
      <w:marRight w:val="0"/>
      <w:marTop w:val="0"/>
      <w:marBottom w:val="0"/>
      <w:divBdr>
        <w:top w:val="none" w:sz="0" w:space="0" w:color="auto"/>
        <w:left w:val="none" w:sz="0" w:space="0" w:color="auto"/>
        <w:bottom w:val="none" w:sz="0" w:space="0" w:color="auto"/>
        <w:right w:val="none" w:sz="0" w:space="0" w:color="auto"/>
      </w:divBdr>
      <w:divsChild>
        <w:div w:id="2019232907">
          <w:marLeft w:val="0"/>
          <w:marRight w:val="0"/>
          <w:marTop w:val="0"/>
          <w:marBottom w:val="0"/>
          <w:divBdr>
            <w:top w:val="none" w:sz="0" w:space="0" w:color="auto"/>
            <w:left w:val="none" w:sz="0" w:space="0" w:color="auto"/>
            <w:bottom w:val="none" w:sz="0" w:space="0" w:color="auto"/>
            <w:right w:val="none" w:sz="0" w:space="0" w:color="auto"/>
          </w:divBdr>
          <w:divsChild>
            <w:div w:id="1617711430">
              <w:marLeft w:val="0"/>
              <w:marRight w:val="0"/>
              <w:marTop w:val="0"/>
              <w:marBottom w:val="0"/>
              <w:divBdr>
                <w:top w:val="none" w:sz="0" w:space="0" w:color="auto"/>
                <w:left w:val="none" w:sz="0" w:space="0" w:color="auto"/>
                <w:bottom w:val="none" w:sz="0" w:space="0" w:color="auto"/>
                <w:right w:val="none" w:sz="0" w:space="0" w:color="auto"/>
              </w:divBdr>
              <w:divsChild>
                <w:div w:id="2139760375">
                  <w:marLeft w:val="0"/>
                  <w:marRight w:val="0"/>
                  <w:marTop w:val="0"/>
                  <w:marBottom w:val="0"/>
                  <w:divBdr>
                    <w:top w:val="none" w:sz="0" w:space="0" w:color="auto"/>
                    <w:left w:val="none" w:sz="0" w:space="0" w:color="auto"/>
                    <w:bottom w:val="none" w:sz="0" w:space="0" w:color="auto"/>
                    <w:right w:val="none" w:sz="0" w:space="0" w:color="auto"/>
                  </w:divBdr>
                  <w:divsChild>
                    <w:div w:id="2035157443">
                      <w:marLeft w:val="0"/>
                      <w:marRight w:val="0"/>
                      <w:marTop w:val="0"/>
                      <w:marBottom w:val="0"/>
                      <w:divBdr>
                        <w:top w:val="none" w:sz="0" w:space="0" w:color="auto"/>
                        <w:left w:val="none" w:sz="0" w:space="0" w:color="auto"/>
                        <w:bottom w:val="none" w:sz="0" w:space="0" w:color="auto"/>
                        <w:right w:val="none" w:sz="0" w:space="0" w:color="auto"/>
                      </w:divBdr>
                      <w:divsChild>
                        <w:div w:id="363142856">
                          <w:marLeft w:val="0"/>
                          <w:marRight w:val="0"/>
                          <w:marTop w:val="0"/>
                          <w:marBottom w:val="0"/>
                          <w:divBdr>
                            <w:top w:val="none" w:sz="0" w:space="0" w:color="auto"/>
                            <w:left w:val="none" w:sz="0" w:space="0" w:color="auto"/>
                            <w:bottom w:val="none" w:sz="0" w:space="0" w:color="auto"/>
                            <w:right w:val="none" w:sz="0" w:space="0" w:color="auto"/>
                          </w:divBdr>
                          <w:divsChild>
                            <w:div w:id="1919561772">
                              <w:marLeft w:val="0"/>
                              <w:marRight w:val="0"/>
                              <w:marTop w:val="0"/>
                              <w:marBottom w:val="0"/>
                              <w:divBdr>
                                <w:top w:val="none" w:sz="0" w:space="0" w:color="auto"/>
                                <w:left w:val="none" w:sz="0" w:space="0" w:color="auto"/>
                                <w:bottom w:val="none" w:sz="0" w:space="0" w:color="auto"/>
                                <w:right w:val="none" w:sz="0" w:space="0" w:color="auto"/>
                              </w:divBdr>
                              <w:divsChild>
                                <w:div w:id="1053239227">
                                  <w:marLeft w:val="0"/>
                                  <w:marRight w:val="0"/>
                                  <w:marTop w:val="0"/>
                                  <w:marBottom w:val="0"/>
                                  <w:divBdr>
                                    <w:top w:val="none" w:sz="0" w:space="0" w:color="auto"/>
                                    <w:left w:val="none" w:sz="0" w:space="0" w:color="auto"/>
                                    <w:bottom w:val="none" w:sz="0" w:space="0" w:color="auto"/>
                                    <w:right w:val="none" w:sz="0" w:space="0" w:color="auto"/>
                                  </w:divBdr>
                                </w:div>
                                <w:div w:id="14360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3798</Words>
  <Characters>3798</Characters>
  <Application>Microsoft Office Word</Application>
  <DocSecurity>0</DocSecurity>
  <Lines>151</Lines>
  <Paragraphs>116</Paragraphs>
  <ScaleCrop>false</ScaleCrop>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3</cp:revision>
  <dcterms:created xsi:type="dcterms:W3CDTF">2023-02-09T07:47:00Z</dcterms:created>
  <dcterms:modified xsi:type="dcterms:W3CDTF">2023-02-09T08:12:00Z</dcterms:modified>
</cp:coreProperties>
</file>