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激活前提：投标单位在中科高盛系统已注册会员，浏览器设置正常，已安装CA驱动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投标单位插上单位锁，点击“CA自助激活”，点击证书激活图标。</w:t>
      </w:r>
    </w:p>
    <w:p>
      <w:pPr>
        <w:numPr>
          <w:numId w:val="0"/>
        </w:numPr>
      </w:pPr>
      <w:r>
        <w:drawing>
          <wp:inline distT="0" distB="0" distL="114300" distR="114300">
            <wp:extent cx="5271135" cy="212915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5688330" cy="1341120"/>
            <wp:effectExtent l="0" t="0" r="762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点击“读取证书”------》填写使用者姓名-------》点击“激活”完成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828925"/>
            <wp:effectExtent l="0" t="0" r="1016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66EBE"/>
    <w:multiLevelType w:val="singleLevel"/>
    <w:tmpl w:val="C3F66E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A4355"/>
    <w:rsid w:val="20D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</dc:creator>
  <cp:lastModifiedBy>黑土地</cp:lastModifiedBy>
  <dcterms:modified xsi:type="dcterms:W3CDTF">2020-02-20T11:39:20Z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